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462CA" w14:textId="3D335409" w:rsidR="008B4D06" w:rsidRPr="008B4D06" w:rsidRDefault="008B4D06" w:rsidP="0048512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B4D06">
        <w:rPr>
          <w:rFonts w:ascii="Arial" w:hAnsi="Arial" w:cs="Arial"/>
          <w:bCs/>
          <w:spacing w:val="-3"/>
          <w:sz w:val="22"/>
          <w:szCs w:val="22"/>
        </w:rPr>
        <w:t>The Government has been creating a safer, fairer and more sustainable building and construction industry through implementation of the Queensland Building Plan.</w:t>
      </w:r>
    </w:p>
    <w:p w14:paraId="6926F3F4" w14:textId="5A19526F" w:rsidR="008B4D06" w:rsidRPr="008B4D06" w:rsidRDefault="008B4D06" w:rsidP="0048512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B4D06">
        <w:rPr>
          <w:rFonts w:ascii="Arial" w:hAnsi="Arial" w:cs="Arial"/>
          <w:bCs/>
          <w:spacing w:val="-3"/>
          <w:sz w:val="22"/>
          <w:szCs w:val="22"/>
        </w:rPr>
        <w:t xml:space="preserve">As part of reforming the culture and payment practices of the building and construction industry, </w:t>
      </w:r>
      <w:r w:rsidR="00055DA6">
        <w:rPr>
          <w:rFonts w:ascii="Arial" w:hAnsi="Arial" w:cs="Arial"/>
          <w:bCs/>
          <w:spacing w:val="-3"/>
          <w:sz w:val="22"/>
          <w:szCs w:val="22"/>
        </w:rPr>
        <w:t xml:space="preserve">an independent evaluation and an investigation </w:t>
      </w:r>
      <w:r w:rsidRPr="008B4D06">
        <w:rPr>
          <w:rFonts w:ascii="Arial" w:hAnsi="Arial" w:cs="Arial"/>
          <w:bCs/>
          <w:spacing w:val="-3"/>
          <w:sz w:val="22"/>
          <w:szCs w:val="22"/>
        </w:rPr>
        <w:t>have been undertaken to determine the effectiveness of the existing legislative framework</w:t>
      </w:r>
      <w:r w:rsidR="00485128">
        <w:rPr>
          <w:rFonts w:ascii="Arial" w:hAnsi="Arial" w:cs="Arial"/>
          <w:bCs/>
          <w:spacing w:val="-3"/>
          <w:sz w:val="22"/>
          <w:szCs w:val="22"/>
        </w:rPr>
        <w:t xml:space="preserve"> by t</w:t>
      </w:r>
      <w:r w:rsidRPr="008B4D06">
        <w:rPr>
          <w:rFonts w:ascii="Arial" w:hAnsi="Arial" w:cs="Arial"/>
          <w:bCs/>
          <w:spacing w:val="-3"/>
          <w:sz w:val="22"/>
          <w:szCs w:val="22"/>
        </w:rPr>
        <w:t>he Building Industry</w:t>
      </w:r>
      <w:r w:rsidR="00ED3E20">
        <w:rPr>
          <w:rFonts w:ascii="Arial" w:hAnsi="Arial" w:cs="Arial"/>
          <w:bCs/>
          <w:spacing w:val="-3"/>
          <w:sz w:val="22"/>
          <w:szCs w:val="22"/>
        </w:rPr>
        <w:t xml:space="preserve"> Fairness</w:t>
      </w:r>
      <w:r w:rsidRPr="008B4D06">
        <w:rPr>
          <w:rFonts w:ascii="Arial" w:hAnsi="Arial" w:cs="Arial"/>
          <w:bCs/>
          <w:spacing w:val="-3"/>
          <w:sz w:val="22"/>
          <w:szCs w:val="22"/>
        </w:rPr>
        <w:t xml:space="preserve"> Reforms Implementation and Evaluation Panel (BIF Panel) and the Special Joint Taskforce (SJT).</w:t>
      </w:r>
    </w:p>
    <w:p w14:paraId="3982C75C" w14:textId="20DF450C" w:rsidR="008B4D06" w:rsidRDefault="00BB33F8" w:rsidP="0048512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Project Bank Accounts </w:t>
      </w:r>
      <w:r w:rsidR="008B4D06" w:rsidRPr="008B4D06">
        <w:rPr>
          <w:rFonts w:ascii="Arial" w:hAnsi="Arial" w:cs="Arial"/>
          <w:bCs/>
          <w:spacing w:val="-3"/>
          <w:sz w:val="22"/>
          <w:szCs w:val="22"/>
        </w:rPr>
        <w:t>commenced on 1 March 2018 and currently apply to certain government building contracts valued between $1 million and $10 million (Phase 1)</w:t>
      </w:r>
      <w:r w:rsidR="008B4D06"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r w:rsidR="008B4D06" w:rsidRPr="008B4D06">
        <w:rPr>
          <w:rFonts w:ascii="Arial" w:hAnsi="Arial" w:cs="Arial"/>
          <w:bCs/>
          <w:spacing w:val="-3"/>
          <w:sz w:val="22"/>
          <w:szCs w:val="22"/>
        </w:rPr>
        <w:t xml:space="preserve">The Minister for Housing and Public Works, Minister for Digital Technology and Minister for Sport </w:t>
      </w:r>
      <w:r w:rsidR="008B4D06">
        <w:rPr>
          <w:rFonts w:ascii="Arial" w:hAnsi="Arial" w:cs="Arial"/>
          <w:bCs/>
          <w:spacing w:val="-3"/>
          <w:sz w:val="22"/>
          <w:szCs w:val="22"/>
        </w:rPr>
        <w:t>established the independent Building Industry Fairness Reforms Implementation and Evaluation Panel</w:t>
      </w:r>
      <w:r w:rsidR="008B4D06" w:rsidRPr="008B4D0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8B4D06">
        <w:rPr>
          <w:rFonts w:ascii="Arial" w:hAnsi="Arial" w:cs="Arial"/>
          <w:bCs/>
          <w:spacing w:val="-3"/>
          <w:sz w:val="22"/>
          <w:szCs w:val="22"/>
        </w:rPr>
        <w:t xml:space="preserve">(the Panel) </w:t>
      </w:r>
      <w:r w:rsidR="008B4D06" w:rsidRPr="008B4D06">
        <w:rPr>
          <w:rFonts w:ascii="Arial" w:hAnsi="Arial" w:cs="Arial"/>
          <w:bCs/>
          <w:spacing w:val="-3"/>
          <w:sz w:val="22"/>
          <w:szCs w:val="22"/>
        </w:rPr>
        <w:t>in May 2018</w:t>
      </w:r>
      <w:r w:rsidR="008B4D06">
        <w:rPr>
          <w:rFonts w:ascii="Arial" w:hAnsi="Arial" w:cs="Arial"/>
          <w:bCs/>
          <w:spacing w:val="-3"/>
          <w:sz w:val="22"/>
          <w:szCs w:val="22"/>
        </w:rPr>
        <w:t xml:space="preserve">. The Panel </w:t>
      </w:r>
      <w:r w:rsidR="008B4D06" w:rsidRPr="008B4D06">
        <w:rPr>
          <w:rFonts w:ascii="Arial" w:hAnsi="Arial" w:cs="Arial"/>
          <w:bCs/>
          <w:spacing w:val="-3"/>
          <w:sz w:val="22"/>
          <w:szCs w:val="22"/>
        </w:rPr>
        <w:t xml:space="preserve">provided its report </w:t>
      </w:r>
      <w:r w:rsidR="008B4D06" w:rsidRPr="00CC5E39">
        <w:rPr>
          <w:rFonts w:ascii="Arial" w:hAnsi="Arial" w:cs="Arial"/>
          <w:bCs/>
          <w:i/>
          <w:spacing w:val="-3"/>
          <w:sz w:val="22"/>
          <w:szCs w:val="22"/>
        </w:rPr>
        <w:t>Building Fairness: An evaluation of Queensland’s Building Industry Fairness Reforms</w:t>
      </w:r>
      <w:r w:rsidR="008B4D06" w:rsidRPr="008B4D06">
        <w:rPr>
          <w:rFonts w:ascii="Arial" w:hAnsi="Arial" w:cs="Arial"/>
          <w:bCs/>
          <w:spacing w:val="-3"/>
          <w:sz w:val="22"/>
          <w:szCs w:val="22"/>
        </w:rPr>
        <w:t xml:space="preserve"> to the </w:t>
      </w:r>
      <w:r w:rsidR="008B4D06">
        <w:rPr>
          <w:rFonts w:ascii="Arial" w:hAnsi="Arial" w:cs="Arial"/>
          <w:bCs/>
          <w:spacing w:val="-3"/>
          <w:sz w:val="22"/>
          <w:szCs w:val="22"/>
        </w:rPr>
        <w:t>G</w:t>
      </w:r>
      <w:r w:rsidR="008B4D06" w:rsidRPr="008B4D06">
        <w:rPr>
          <w:rFonts w:ascii="Arial" w:hAnsi="Arial" w:cs="Arial"/>
          <w:bCs/>
          <w:spacing w:val="-3"/>
          <w:sz w:val="22"/>
          <w:szCs w:val="22"/>
        </w:rPr>
        <w:t>overnment on 29 March 2019 making 20</w:t>
      </w:r>
      <w:r w:rsidR="00CC5E39">
        <w:rPr>
          <w:rFonts w:ascii="Arial" w:hAnsi="Arial" w:cs="Arial"/>
          <w:bCs/>
          <w:spacing w:val="-3"/>
          <w:sz w:val="22"/>
          <w:szCs w:val="22"/>
        </w:rPr>
        <w:t> </w:t>
      </w:r>
      <w:r w:rsidR="008B4D06" w:rsidRPr="008B4D06">
        <w:rPr>
          <w:rFonts w:ascii="Arial" w:hAnsi="Arial" w:cs="Arial"/>
          <w:bCs/>
          <w:spacing w:val="-3"/>
          <w:sz w:val="22"/>
          <w:szCs w:val="22"/>
        </w:rPr>
        <w:t>recommendations to further enhance security of payment reform and the PBA framework</w:t>
      </w:r>
      <w:r w:rsidR="00DE27B3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73A83078" w14:textId="77777777" w:rsidR="00A15FB0" w:rsidRDefault="00A15FB0" w:rsidP="0048512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E20DB">
        <w:rPr>
          <w:rFonts w:ascii="Arial" w:hAnsi="Arial" w:cs="Arial"/>
          <w:bCs/>
          <w:spacing w:val="-3"/>
          <w:sz w:val="22"/>
          <w:szCs w:val="22"/>
        </w:rPr>
        <w:t>The 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pecial </w:t>
      </w:r>
      <w:r w:rsidRPr="00EE20DB">
        <w:rPr>
          <w:rFonts w:ascii="Arial" w:hAnsi="Arial" w:cs="Arial"/>
          <w:bCs/>
          <w:spacing w:val="-3"/>
          <w:sz w:val="22"/>
          <w:szCs w:val="22"/>
        </w:rPr>
        <w:t>J</w:t>
      </w:r>
      <w:r>
        <w:rPr>
          <w:rFonts w:ascii="Arial" w:hAnsi="Arial" w:cs="Arial"/>
          <w:bCs/>
          <w:spacing w:val="-3"/>
          <w:sz w:val="22"/>
          <w:szCs w:val="22"/>
        </w:rPr>
        <w:t xml:space="preserve">oint </w:t>
      </w:r>
      <w:r w:rsidRPr="00EE20DB">
        <w:rPr>
          <w:rFonts w:ascii="Arial" w:hAnsi="Arial" w:cs="Arial"/>
          <w:bCs/>
          <w:spacing w:val="-3"/>
          <w:sz w:val="22"/>
          <w:szCs w:val="22"/>
        </w:rPr>
        <w:t>T</w:t>
      </w:r>
      <w:r>
        <w:rPr>
          <w:rFonts w:ascii="Arial" w:hAnsi="Arial" w:cs="Arial"/>
          <w:bCs/>
          <w:spacing w:val="-3"/>
          <w:sz w:val="22"/>
          <w:szCs w:val="22"/>
        </w:rPr>
        <w:t>askforce</w:t>
      </w:r>
      <w:r w:rsidRPr="00EE20DB">
        <w:rPr>
          <w:rFonts w:ascii="Arial" w:hAnsi="Arial" w:cs="Arial"/>
          <w:bCs/>
          <w:spacing w:val="-3"/>
          <w:sz w:val="22"/>
          <w:szCs w:val="22"/>
        </w:rPr>
        <w:t xml:space="preserve"> was established on 27 March 2019 to investigate complaints of fraudulent behaviour relating to subcontractor non-payment and consider the ability of government and regulators to respond to such behaviour. The SJT Report was provided to the </w:t>
      </w:r>
      <w:r>
        <w:rPr>
          <w:rFonts w:ascii="Arial" w:hAnsi="Arial" w:cs="Arial"/>
          <w:bCs/>
          <w:spacing w:val="-3"/>
          <w:sz w:val="22"/>
          <w:szCs w:val="22"/>
        </w:rPr>
        <w:t>G</w:t>
      </w:r>
      <w:r w:rsidRPr="00EE20DB">
        <w:rPr>
          <w:rFonts w:ascii="Arial" w:hAnsi="Arial" w:cs="Arial"/>
          <w:bCs/>
          <w:spacing w:val="-3"/>
          <w:sz w:val="22"/>
          <w:szCs w:val="22"/>
        </w:rPr>
        <w:t>overnment on 28 June 2019 and made 10 recommendations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29B7754F" w14:textId="30688F30" w:rsidR="00D6589B" w:rsidRDefault="00D6589B" w:rsidP="0048512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311DE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="00EE20DB" w:rsidRPr="003311DE">
        <w:rPr>
          <w:rFonts w:ascii="Arial" w:hAnsi="Arial" w:cs="Arial"/>
          <w:bCs/>
          <w:spacing w:val="-3"/>
          <w:sz w:val="22"/>
          <w:szCs w:val="22"/>
          <w:u w:val="single"/>
        </w:rPr>
        <w:t>approved</w:t>
      </w:r>
      <w:r w:rsidR="00EE20DB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485128">
        <w:rPr>
          <w:rFonts w:ascii="Arial" w:hAnsi="Arial" w:cs="Arial"/>
          <w:bCs/>
          <w:spacing w:val="-3"/>
          <w:sz w:val="22"/>
          <w:szCs w:val="22"/>
        </w:rPr>
        <w:t xml:space="preserve">government response to </w:t>
      </w:r>
      <w:r w:rsidR="00A031F7" w:rsidRPr="00CC5E39">
        <w:rPr>
          <w:rFonts w:ascii="Arial" w:hAnsi="Arial" w:cs="Arial"/>
          <w:bCs/>
          <w:i/>
          <w:spacing w:val="-3"/>
          <w:sz w:val="22"/>
          <w:szCs w:val="22"/>
        </w:rPr>
        <w:t xml:space="preserve">Building Fairness: An evaluation of Queensland’s Building </w:t>
      </w:r>
      <w:r w:rsidR="000C65B7" w:rsidRPr="00CC5E39">
        <w:rPr>
          <w:rFonts w:ascii="Arial" w:hAnsi="Arial" w:cs="Arial"/>
          <w:bCs/>
          <w:i/>
          <w:spacing w:val="-3"/>
          <w:sz w:val="22"/>
          <w:szCs w:val="22"/>
        </w:rPr>
        <w:t>Industry Fairness Reforms</w:t>
      </w:r>
      <w:r w:rsidR="00B64229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3972A0">
        <w:rPr>
          <w:rFonts w:ascii="Arial" w:hAnsi="Arial" w:cs="Arial"/>
          <w:bCs/>
          <w:spacing w:val="-3"/>
          <w:sz w:val="22"/>
          <w:szCs w:val="22"/>
        </w:rPr>
        <w:t>and noted that the BIF Report</w:t>
      </w:r>
      <w:r w:rsidR="00EE20DB">
        <w:rPr>
          <w:rFonts w:ascii="Arial" w:hAnsi="Arial" w:cs="Arial"/>
          <w:bCs/>
          <w:spacing w:val="-3"/>
          <w:sz w:val="22"/>
          <w:szCs w:val="22"/>
        </w:rPr>
        <w:t xml:space="preserve"> and </w:t>
      </w:r>
      <w:r w:rsidR="00CC5E39">
        <w:rPr>
          <w:rFonts w:ascii="Arial" w:hAnsi="Arial" w:cs="Arial"/>
          <w:bCs/>
          <w:spacing w:val="-3"/>
          <w:sz w:val="22"/>
          <w:szCs w:val="22"/>
        </w:rPr>
        <w:t>r</w:t>
      </w:r>
      <w:r w:rsidR="00EE20DB">
        <w:rPr>
          <w:rFonts w:ascii="Arial" w:hAnsi="Arial" w:cs="Arial"/>
          <w:bCs/>
          <w:spacing w:val="-3"/>
          <w:sz w:val="22"/>
          <w:szCs w:val="22"/>
        </w:rPr>
        <w:t>esponse</w:t>
      </w:r>
      <w:r w:rsidR="00926C1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485128">
        <w:rPr>
          <w:rFonts w:ascii="Arial" w:hAnsi="Arial" w:cs="Arial"/>
          <w:bCs/>
          <w:spacing w:val="-3"/>
          <w:sz w:val="22"/>
          <w:szCs w:val="22"/>
        </w:rPr>
        <w:t xml:space="preserve">would </w:t>
      </w:r>
      <w:r w:rsidR="00926C1F">
        <w:rPr>
          <w:rFonts w:ascii="Arial" w:hAnsi="Arial" w:cs="Arial"/>
          <w:bCs/>
          <w:spacing w:val="-3"/>
          <w:sz w:val="22"/>
          <w:szCs w:val="22"/>
        </w:rPr>
        <w:t>be tabled</w:t>
      </w:r>
      <w:r w:rsidR="00EE20DB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14:paraId="056067FA" w14:textId="6DB44FAE" w:rsidR="00EE20DB" w:rsidRDefault="00EE20DB" w:rsidP="0048512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9486D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release of the S</w:t>
      </w:r>
      <w:r w:rsidR="00844A01">
        <w:rPr>
          <w:rFonts w:ascii="Arial" w:hAnsi="Arial" w:cs="Arial"/>
          <w:bCs/>
          <w:spacing w:val="-3"/>
          <w:sz w:val="22"/>
          <w:szCs w:val="22"/>
        </w:rPr>
        <w:t xml:space="preserve">pecial </w:t>
      </w:r>
      <w:r>
        <w:rPr>
          <w:rFonts w:ascii="Arial" w:hAnsi="Arial" w:cs="Arial"/>
          <w:bCs/>
          <w:spacing w:val="-3"/>
          <w:sz w:val="22"/>
          <w:szCs w:val="22"/>
        </w:rPr>
        <w:t>J</w:t>
      </w:r>
      <w:r w:rsidR="00844A01">
        <w:rPr>
          <w:rFonts w:ascii="Arial" w:hAnsi="Arial" w:cs="Arial"/>
          <w:bCs/>
          <w:spacing w:val="-3"/>
          <w:sz w:val="22"/>
          <w:szCs w:val="22"/>
        </w:rPr>
        <w:t xml:space="preserve">oint </w:t>
      </w:r>
      <w:r>
        <w:rPr>
          <w:rFonts w:ascii="Arial" w:hAnsi="Arial" w:cs="Arial"/>
          <w:bCs/>
          <w:spacing w:val="-3"/>
          <w:sz w:val="22"/>
          <w:szCs w:val="22"/>
        </w:rPr>
        <w:t>T</w:t>
      </w:r>
      <w:r w:rsidR="00844A01">
        <w:rPr>
          <w:rFonts w:ascii="Arial" w:hAnsi="Arial" w:cs="Arial"/>
          <w:bCs/>
          <w:spacing w:val="-3"/>
          <w:sz w:val="22"/>
          <w:szCs w:val="22"/>
        </w:rPr>
        <w:t>askforce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Report and its Government Response.</w:t>
      </w:r>
    </w:p>
    <w:p w14:paraId="54A3ECBC" w14:textId="3961B1F5" w:rsidR="00D6589B" w:rsidRPr="00C07656" w:rsidRDefault="00D6589B" w:rsidP="00485128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1F0FAD1F" w14:textId="520D568A" w:rsidR="00EE20DB" w:rsidRPr="00CC5E39" w:rsidRDefault="003E4514" w:rsidP="00485128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i/>
          <w:color w:val="auto"/>
          <w:sz w:val="22"/>
          <w:szCs w:val="22"/>
        </w:rPr>
      </w:pPr>
      <w:hyperlink r:id="rId10" w:history="1">
        <w:r w:rsidR="00AD566D" w:rsidRPr="00992CDF">
          <w:rPr>
            <w:rStyle w:val="Hyperlink"/>
            <w:rFonts w:ascii="Arial" w:hAnsi="Arial" w:cs="Arial"/>
            <w:i/>
            <w:sz w:val="22"/>
            <w:szCs w:val="22"/>
          </w:rPr>
          <w:t xml:space="preserve">Building Fairness: An Evaluation of </w:t>
        </w:r>
        <w:r w:rsidR="00992CDF" w:rsidRPr="00992CDF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 xml:space="preserve">Queensland’s </w:t>
        </w:r>
        <w:r w:rsidR="00AD566D" w:rsidRPr="00992CDF">
          <w:rPr>
            <w:rStyle w:val="Hyperlink"/>
            <w:rFonts w:ascii="Arial" w:hAnsi="Arial" w:cs="Arial"/>
            <w:i/>
            <w:sz w:val="22"/>
            <w:szCs w:val="22"/>
          </w:rPr>
          <w:t>Building Industry Fairness Reforms</w:t>
        </w:r>
      </w:hyperlink>
      <w:r w:rsidR="00AD566D" w:rsidRPr="00CC5E39">
        <w:rPr>
          <w:rStyle w:val="Hyperlink"/>
          <w:rFonts w:ascii="Arial" w:hAnsi="Arial" w:cs="Arial"/>
          <w:i/>
          <w:color w:val="auto"/>
          <w:sz w:val="22"/>
          <w:szCs w:val="22"/>
          <w:u w:val="none"/>
        </w:rPr>
        <w:t xml:space="preserve"> </w:t>
      </w:r>
    </w:p>
    <w:p w14:paraId="75B26741" w14:textId="78144310" w:rsidR="00F7394C" w:rsidRPr="00945E90" w:rsidRDefault="003E4514" w:rsidP="00485128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color w:val="auto"/>
          <w:sz w:val="22"/>
          <w:szCs w:val="22"/>
        </w:rPr>
      </w:pPr>
      <w:hyperlink r:id="rId11" w:history="1">
        <w:r w:rsidR="00AD566D" w:rsidRPr="00992CDF">
          <w:rPr>
            <w:rStyle w:val="Hyperlink"/>
            <w:rFonts w:ascii="Arial" w:hAnsi="Arial" w:cs="Arial"/>
            <w:sz w:val="22"/>
            <w:szCs w:val="22"/>
          </w:rPr>
          <w:t xml:space="preserve">Government response to the recommendations of </w:t>
        </w:r>
        <w:r w:rsidR="00992CDF" w:rsidRPr="00992CDF">
          <w:rPr>
            <w:rStyle w:val="Hyperlink"/>
            <w:rFonts w:ascii="Arial" w:hAnsi="Arial" w:cs="Arial"/>
            <w:i/>
            <w:sz w:val="22"/>
            <w:szCs w:val="22"/>
          </w:rPr>
          <w:t xml:space="preserve">Building Fairness: An Evaluation of </w:t>
        </w:r>
        <w:r w:rsidR="00992CDF" w:rsidRPr="00992CDF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 xml:space="preserve">Queensland’s </w:t>
        </w:r>
        <w:r w:rsidR="00992CDF" w:rsidRPr="00992CDF">
          <w:rPr>
            <w:rStyle w:val="Hyperlink"/>
            <w:rFonts w:ascii="Arial" w:hAnsi="Arial" w:cs="Arial"/>
            <w:i/>
            <w:sz w:val="22"/>
            <w:szCs w:val="22"/>
          </w:rPr>
          <w:t>Building Industry Fairness Reforms</w:t>
        </w:r>
      </w:hyperlink>
    </w:p>
    <w:p w14:paraId="1FE58EDF" w14:textId="6E61FAF9" w:rsidR="00F7394C" w:rsidRPr="00E7688E" w:rsidRDefault="003E4514" w:rsidP="00485128">
      <w:pPr>
        <w:keepLines/>
        <w:numPr>
          <w:ilvl w:val="0"/>
          <w:numId w:val="2"/>
        </w:numPr>
        <w:spacing w:before="120" w:line="259" w:lineRule="auto"/>
        <w:jc w:val="both"/>
        <w:rPr>
          <w:rFonts w:ascii="Arial" w:hAnsi="Arial" w:cs="Arial"/>
          <w:color w:val="auto"/>
          <w:sz w:val="22"/>
          <w:szCs w:val="22"/>
        </w:rPr>
      </w:pPr>
      <w:hyperlink r:id="rId12" w:history="1">
        <w:r w:rsidR="00AD566D" w:rsidRPr="00992CDF">
          <w:rPr>
            <w:rStyle w:val="Hyperlink"/>
            <w:rFonts w:ascii="Arial" w:hAnsi="Arial" w:cs="Arial"/>
            <w:sz w:val="22"/>
            <w:szCs w:val="22"/>
          </w:rPr>
          <w:t>Special Joint Taskforce Report</w:t>
        </w:r>
      </w:hyperlink>
    </w:p>
    <w:p w14:paraId="11EE399F" w14:textId="5DA98156" w:rsidR="00F7394C" w:rsidRPr="007C4F82" w:rsidRDefault="003E4514" w:rsidP="00485128">
      <w:pPr>
        <w:keepLines/>
        <w:numPr>
          <w:ilvl w:val="0"/>
          <w:numId w:val="2"/>
        </w:numPr>
        <w:spacing w:before="120" w:line="259" w:lineRule="auto"/>
        <w:jc w:val="both"/>
        <w:rPr>
          <w:rFonts w:ascii="Arial" w:hAnsi="Arial" w:cs="Arial"/>
          <w:color w:val="auto"/>
          <w:sz w:val="22"/>
          <w:szCs w:val="22"/>
        </w:rPr>
      </w:pPr>
      <w:hyperlink r:id="rId13" w:history="1">
        <w:r w:rsidR="00AD566D" w:rsidRPr="00992CDF">
          <w:rPr>
            <w:rStyle w:val="Hyperlink"/>
            <w:rFonts w:ascii="Arial" w:hAnsi="Arial" w:cs="Arial"/>
            <w:sz w:val="22"/>
            <w:szCs w:val="22"/>
          </w:rPr>
          <w:t>Government response to the Special Joint Taskforce Report</w:t>
        </w:r>
      </w:hyperlink>
    </w:p>
    <w:sectPr w:rsidR="00F7394C" w:rsidRPr="007C4F82" w:rsidSect="003D4F34">
      <w:headerReference w:type="default" r:id="rId14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AF7BC" w14:textId="77777777" w:rsidR="00992CDF" w:rsidRDefault="00992CDF" w:rsidP="00D6589B">
      <w:r>
        <w:separator/>
      </w:r>
    </w:p>
  </w:endnote>
  <w:endnote w:type="continuationSeparator" w:id="0">
    <w:p w14:paraId="113B78F9" w14:textId="77777777" w:rsidR="00992CDF" w:rsidRDefault="00992CDF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0379E" w14:textId="77777777" w:rsidR="00992CDF" w:rsidRDefault="00992CDF" w:rsidP="00D6589B">
      <w:r>
        <w:separator/>
      </w:r>
    </w:p>
  </w:footnote>
  <w:footnote w:type="continuationSeparator" w:id="0">
    <w:p w14:paraId="09FCBFEE" w14:textId="77777777" w:rsidR="00992CDF" w:rsidRDefault="00992CDF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47768" w14:textId="77777777" w:rsidR="00992CDF" w:rsidRPr="00937A4A" w:rsidRDefault="00992CDF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22A5963E" w14:textId="77777777" w:rsidR="00992CDF" w:rsidRPr="00937A4A" w:rsidRDefault="00992CDF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45818A9C" w14:textId="1C136CF4" w:rsidR="00992CDF" w:rsidRPr="00937A4A" w:rsidRDefault="00992CDF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October 2019</w:t>
    </w:r>
  </w:p>
  <w:p w14:paraId="15AF6475" w14:textId="44CED146" w:rsidR="00992CDF" w:rsidRDefault="00992CDF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8B4D06">
      <w:rPr>
        <w:rFonts w:ascii="Arial" w:hAnsi="Arial" w:cs="Arial"/>
        <w:b/>
        <w:sz w:val="22"/>
        <w:szCs w:val="22"/>
        <w:u w:val="single"/>
      </w:rPr>
      <w:t>Building Industry Fairness – enhancing legislative protections and security of payment outcomes</w:t>
    </w:r>
  </w:p>
  <w:p w14:paraId="04AD918F" w14:textId="4D3F4B63" w:rsidR="00992CDF" w:rsidRDefault="00992CDF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8B4D06">
      <w:rPr>
        <w:rFonts w:ascii="Arial" w:hAnsi="Arial" w:cs="Arial"/>
        <w:b/>
        <w:sz w:val="22"/>
        <w:szCs w:val="22"/>
        <w:u w:val="single"/>
      </w:rPr>
      <w:t>Minister for Housing and Public Works, Minister for Digital Technology and Minister for Sport</w:t>
    </w:r>
  </w:p>
  <w:p w14:paraId="11B5BF25" w14:textId="77777777" w:rsidR="00992CDF" w:rsidRDefault="00992CDF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CC3A12"/>
    <w:multiLevelType w:val="hybridMultilevel"/>
    <w:tmpl w:val="EA30EC34"/>
    <w:lvl w:ilvl="0" w:tplc="31560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BE4382"/>
    <w:multiLevelType w:val="hybridMultilevel"/>
    <w:tmpl w:val="37EE3452"/>
    <w:lvl w:ilvl="0" w:tplc="AD5C59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CBE"/>
    <w:rsid w:val="00055DA6"/>
    <w:rsid w:val="00080F8F"/>
    <w:rsid w:val="000C2D99"/>
    <w:rsid w:val="000C65B7"/>
    <w:rsid w:val="0010384C"/>
    <w:rsid w:val="00152095"/>
    <w:rsid w:val="00174117"/>
    <w:rsid w:val="001C312D"/>
    <w:rsid w:val="0029486D"/>
    <w:rsid w:val="003311DE"/>
    <w:rsid w:val="003972A0"/>
    <w:rsid w:val="003A3BDD"/>
    <w:rsid w:val="003D4F34"/>
    <w:rsid w:val="003E4514"/>
    <w:rsid w:val="00415206"/>
    <w:rsid w:val="0043543B"/>
    <w:rsid w:val="00485128"/>
    <w:rsid w:val="00501C66"/>
    <w:rsid w:val="00550873"/>
    <w:rsid w:val="0057076F"/>
    <w:rsid w:val="007265D0"/>
    <w:rsid w:val="007277A6"/>
    <w:rsid w:val="00732E22"/>
    <w:rsid w:val="00741C20"/>
    <w:rsid w:val="007633F6"/>
    <w:rsid w:val="0077299B"/>
    <w:rsid w:val="007C4F82"/>
    <w:rsid w:val="007F44F4"/>
    <w:rsid w:val="00844A01"/>
    <w:rsid w:val="0089549E"/>
    <w:rsid w:val="008B4D06"/>
    <w:rsid w:val="008C7CF3"/>
    <w:rsid w:val="00902F9C"/>
    <w:rsid w:val="00904077"/>
    <w:rsid w:val="00920CBE"/>
    <w:rsid w:val="00926C1F"/>
    <w:rsid w:val="00937A4A"/>
    <w:rsid w:val="00945E90"/>
    <w:rsid w:val="009918AE"/>
    <w:rsid w:val="00992CDF"/>
    <w:rsid w:val="00A031F7"/>
    <w:rsid w:val="00A15FB0"/>
    <w:rsid w:val="00AD566D"/>
    <w:rsid w:val="00AF6A41"/>
    <w:rsid w:val="00B64229"/>
    <w:rsid w:val="00B95A06"/>
    <w:rsid w:val="00BB33F8"/>
    <w:rsid w:val="00C75E67"/>
    <w:rsid w:val="00CB1501"/>
    <w:rsid w:val="00CC5E39"/>
    <w:rsid w:val="00CD7A50"/>
    <w:rsid w:val="00CF0D8A"/>
    <w:rsid w:val="00D6589B"/>
    <w:rsid w:val="00DE27B3"/>
    <w:rsid w:val="00E13476"/>
    <w:rsid w:val="00E7688E"/>
    <w:rsid w:val="00ED3E20"/>
    <w:rsid w:val="00EE20DB"/>
    <w:rsid w:val="00F24A8A"/>
    <w:rsid w:val="00F45B99"/>
    <w:rsid w:val="00F7394C"/>
    <w:rsid w:val="00F94D48"/>
    <w:rsid w:val="00FB3399"/>
    <w:rsid w:val="00FE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C411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39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9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39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Attachments/SJTResponse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ttachments/SJTReport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BIFResponse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Attachments/BIFRepor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SharePoint\Word%20Templates%20-%20Documents\DPC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ADAFE8-8EBC-4A19-8F84-1DB5AA4F2A92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3e311de-a790-43ff-be63-577c26c7507c"/>
    <ds:schemaRef ds:uri="b8ed82f2-f7bd-423c-8698-5e132afe924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13E28F-8FEF-4F48-AE5C-282AE133B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48</TotalTime>
  <Pages>1</Pages>
  <Words>301</Words>
  <Characters>1800</Characters>
  <Application>Microsoft Office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CAB—Proactive Release Summary</vt:lpstr>
    </vt:vector>
  </TitlesOfParts>
  <Manager/>
  <Company/>
  <LinksUpToDate>false</LinksUpToDate>
  <CharactersWithSpaces>2096</CharactersWithSpaces>
  <SharedDoc>false</SharedDoc>
  <HyperlinkBase>https://www.cabinet.qld.gov.au/documents/2019/Oct/BIF/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CAB—Proactive Release Summary</dc:title>
  <dc:subject/>
  <dc:creator/>
  <cp:keywords>cabinet; proactive release</cp:keywords>
  <cp:lastModifiedBy/>
  <cp:revision>28</cp:revision>
  <dcterms:created xsi:type="dcterms:W3CDTF">2020-01-16T04:16:00Z</dcterms:created>
  <dcterms:modified xsi:type="dcterms:W3CDTF">2020-07-27T00:46:00Z</dcterms:modified>
  <cp:category>Building_and_Construction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  <property fmtid="{D5CDD505-2E9C-101B-9397-08002B2CF9AE}" pid="3" name="Document Type">
    <vt:lpwstr>Cabinet Submission</vt:lpwstr>
  </property>
  <property fmtid="{D5CDD505-2E9C-101B-9397-08002B2CF9AE}" pid="4" name="TaxKeyword">
    <vt:lpwstr>1394;#proactive release|998d06d2-17fe-4953-b3f4-b7bb426c592b;#478;#cabinet|3081b15d-12dd-410e-ae31-cdabd59c98d6</vt:lpwstr>
  </property>
</Properties>
</file>